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sectPr>
          <w:pgSz w:w="11906" w:h="16838"/>
          <w:pgMar w:top="850" w:right="850" w:bottom="850" w:left="850" w:header="851" w:footer="992" w:gutter="0"/>
          <w:cols w:space="425" w:num="1"/>
          <w:docGrid w:type="lines" w:linePitch="312" w:charSpace="0"/>
        </w:sectPr>
      </w:pPr>
      <w:r>
        <w:rPr>
          <w:sz w:val="21"/>
        </w:rPr>
        <mc:AlternateContent>
          <mc:Choice Requires="wps">
            <w:drawing>
              <wp:anchor distT="0" distB="0" distL="114300" distR="114300" simplePos="0" relativeHeight="251661312" behindDoc="0" locked="0" layoutInCell="1" allowOverlap="1">
                <wp:simplePos x="0" y="0"/>
                <wp:positionH relativeFrom="column">
                  <wp:posOffset>4940935</wp:posOffset>
                </wp:positionH>
                <wp:positionV relativeFrom="paragraph">
                  <wp:posOffset>7418705</wp:posOffset>
                </wp:positionV>
                <wp:extent cx="1591945" cy="1323975"/>
                <wp:effectExtent l="0" t="0" r="0" b="0"/>
                <wp:wrapNone/>
                <wp:docPr id="4" name="矩形 4"/>
                <wp:cNvGraphicFramePr/>
                <a:graphic xmlns:a="http://schemas.openxmlformats.org/drawingml/2006/main">
                  <a:graphicData uri="http://schemas.microsoft.com/office/word/2010/wordprocessingShape">
                    <wps:wsp>
                      <wps:cNvSpPr/>
                      <wps:spPr>
                        <a:xfrm>
                          <a:off x="0" y="0"/>
                          <a:ext cx="1591945"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bCs/>
                                <w:sz w:val="96"/>
                                <w:szCs w:val="96"/>
                                <w:vertAlign w:val="baseline"/>
                                <w:lang w:val="en-US" w:eastAsia="zh-CN"/>
                              </w:rPr>
                            </w:pPr>
                            <w:r>
                              <w:rPr>
                                <w:rFonts w:hint="eastAsia" w:ascii="黑体" w:hAnsi="黑体" w:eastAsia="黑体" w:cs="黑体"/>
                                <w:b/>
                                <w:bCs/>
                                <w:sz w:val="96"/>
                                <w:szCs w:val="96"/>
                                <w:vertAlign w:val="baseline"/>
                                <w:lang w:val="en-US" w:eastAsia="zh-CN"/>
                              </w:rPr>
                              <w:t>2022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05pt;margin-top:584.15pt;height:104.25pt;width:125.35pt;z-index:251661312;v-text-anchor:middle;mso-width-relative:page;mso-height-relative:page;" filled="f" stroked="f" coordsize="21600,21600" o:gfxdata="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VXztoAAAAOAQAADwAAAAAAAAABACAAAAAiAAAAZHJzL2Rvd25yZXYueG1sUEsBAhQA&#10;FAAAAAgAh07iQCW2JoViAgAArgQAAA4AAAAAAAAAAQAgAAAAKQEAAGRycy9lMm9Eb2MueG1sUEsF&#10;BgAAAAAGAAYAWQEAAP0F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bCs/>
                          <w:sz w:val="96"/>
                          <w:szCs w:val="96"/>
                          <w:vertAlign w:val="baseline"/>
                          <w:lang w:val="en-US" w:eastAsia="zh-CN"/>
                        </w:rPr>
                      </w:pPr>
                      <w:r>
                        <w:rPr>
                          <w:rFonts w:hint="eastAsia" w:ascii="黑体" w:hAnsi="黑体" w:eastAsia="黑体" w:cs="黑体"/>
                          <w:b/>
                          <w:bCs/>
                          <w:sz w:val="96"/>
                          <w:szCs w:val="96"/>
                          <w:vertAlign w:val="baseline"/>
                          <w:lang w:val="en-US" w:eastAsia="zh-CN"/>
                        </w:rPr>
                        <w:t>2022</w:t>
                      </w:r>
                    </w:p>
                  </w:txbxContent>
                </v:textbox>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7247255</wp:posOffset>
                </wp:positionV>
                <wp:extent cx="6524625" cy="1609090"/>
                <wp:effectExtent l="6350" t="6350" r="22225" b="22860"/>
                <wp:wrapNone/>
                <wp:docPr id="3" name="矩形 3"/>
                <wp:cNvGraphicFramePr/>
                <a:graphic xmlns:a="http://schemas.openxmlformats.org/drawingml/2006/main">
                  <a:graphicData uri="http://schemas.microsoft.com/office/word/2010/wordprocessingShape">
                    <wps:wsp>
                      <wps:cNvSpPr/>
                      <wps:spPr>
                        <a:xfrm>
                          <a:off x="0" y="0"/>
                          <a:ext cx="6524625" cy="160909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rPr>
                              <w:t>招生</w:t>
                            </w:r>
                            <w:r>
                              <w:rPr>
                                <w:rFonts w:hint="eastAsia" w:ascii="黑体" w:hAnsi="黑体" w:eastAsia="黑体" w:cs="黑体"/>
                                <w:b/>
                                <w:bCs/>
                                <w:sz w:val="28"/>
                                <w:szCs w:val="28"/>
                                <w:vertAlign w:val="baseline"/>
                                <w:lang w:eastAsia="zh-CN"/>
                              </w:rPr>
                              <w:t>咨询</w:t>
                            </w:r>
                            <w:r>
                              <w:rPr>
                                <w:rFonts w:hint="eastAsia" w:ascii="黑体" w:hAnsi="黑体" w:eastAsia="黑体" w:cs="黑体"/>
                                <w:b/>
                                <w:bCs/>
                                <w:sz w:val="28"/>
                                <w:szCs w:val="28"/>
                                <w:vertAlign w:val="baseline"/>
                              </w:rPr>
                              <w:t>电话：0536-8785</w:t>
                            </w:r>
                            <w:r>
                              <w:rPr>
                                <w:rFonts w:hint="eastAsia" w:ascii="黑体" w:hAnsi="黑体" w:eastAsia="黑体" w:cs="黑体"/>
                                <w:b/>
                                <w:bCs/>
                                <w:sz w:val="28"/>
                                <w:szCs w:val="28"/>
                                <w:vertAlign w:val="baseline"/>
                                <w:lang w:val="en-US" w:eastAsia="zh-CN"/>
                              </w:rPr>
                              <w:t>515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vertAlign w:val="baseline"/>
                              </w:rPr>
                            </w:pPr>
                            <w:r>
                              <w:rPr>
                                <w:rFonts w:hint="eastAsia" w:ascii="黑体" w:hAnsi="黑体" w:eastAsia="黑体" w:cs="黑体"/>
                                <w:b/>
                                <w:bCs/>
                                <w:sz w:val="28"/>
                                <w:szCs w:val="28"/>
                                <w:vertAlign w:val="baseline"/>
                              </w:rPr>
                              <w:t>继续教育学院网址：http://jxjy.wfu.edu.cn</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vertAlign w:val="baseline"/>
                              </w:rPr>
                            </w:pPr>
                            <w:r>
                              <w:rPr>
                                <w:rFonts w:hint="eastAsia" w:ascii="黑体" w:hAnsi="黑体" w:eastAsia="黑体" w:cs="黑体"/>
                                <w:b/>
                                <w:bCs/>
                                <w:sz w:val="28"/>
                                <w:szCs w:val="28"/>
                                <w:vertAlign w:val="baseline"/>
                              </w:rPr>
                              <w:t>教务教学管理公共服务平台网址：http://wfxy.sdcen.cn</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vertAlign w:val="baseline"/>
                              </w:rPr>
                            </w:pPr>
                            <w:r>
                              <w:rPr>
                                <w:rFonts w:hint="eastAsia" w:ascii="黑体" w:hAnsi="黑体" w:eastAsia="黑体" w:cs="黑体"/>
                                <w:b/>
                                <w:bCs/>
                                <w:sz w:val="28"/>
                                <w:szCs w:val="28"/>
                                <w:vertAlign w:val="baseline"/>
                              </w:rPr>
                              <w:t>地址：潍坊市卧龙西街2829号（邮编261021）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9pt;margin-top:570.65pt;height:126.7pt;width:513.75pt;z-index:251660288;v-text-anchor:middle;mso-width-relative:page;mso-height-relative:page;" fillcolor="#2E75B6 [2404]" filled="t" stroked="t" coordsize="21600,21600" o:gfxdata="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Inz9PreAAAADQEAAA8AAAAAAAAAAQAgAAAAIgAAAGRycy9kb3ducmV2LnhtbFBLAQIUABQA&#10;AAAIAIdO4kDpcbsalQIAAEMFAAAOAAAAAAAAAAEAIAAAAC0BAABkcnMvZTJvRG9jLnhtbFBLBQYA&#10;AAAABgAGAFkBAAA0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rPr>
                        <w:t>招生</w:t>
                      </w:r>
                      <w:r>
                        <w:rPr>
                          <w:rFonts w:hint="eastAsia" w:ascii="黑体" w:hAnsi="黑体" w:eastAsia="黑体" w:cs="黑体"/>
                          <w:b/>
                          <w:bCs/>
                          <w:sz w:val="28"/>
                          <w:szCs w:val="28"/>
                          <w:vertAlign w:val="baseline"/>
                          <w:lang w:eastAsia="zh-CN"/>
                        </w:rPr>
                        <w:t>咨询</w:t>
                      </w:r>
                      <w:r>
                        <w:rPr>
                          <w:rFonts w:hint="eastAsia" w:ascii="黑体" w:hAnsi="黑体" w:eastAsia="黑体" w:cs="黑体"/>
                          <w:b/>
                          <w:bCs/>
                          <w:sz w:val="28"/>
                          <w:szCs w:val="28"/>
                          <w:vertAlign w:val="baseline"/>
                        </w:rPr>
                        <w:t>电话：0536-8785</w:t>
                      </w:r>
                      <w:r>
                        <w:rPr>
                          <w:rFonts w:hint="eastAsia" w:ascii="黑体" w:hAnsi="黑体" w:eastAsia="黑体" w:cs="黑体"/>
                          <w:b/>
                          <w:bCs/>
                          <w:sz w:val="28"/>
                          <w:szCs w:val="28"/>
                          <w:vertAlign w:val="baseline"/>
                          <w:lang w:val="en-US" w:eastAsia="zh-CN"/>
                        </w:rPr>
                        <w:t>515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vertAlign w:val="baseline"/>
                        </w:rPr>
                      </w:pPr>
                      <w:r>
                        <w:rPr>
                          <w:rFonts w:hint="eastAsia" w:ascii="黑体" w:hAnsi="黑体" w:eastAsia="黑体" w:cs="黑体"/>
                          <w:b/>
                          <w:bCs/>
                          <w:sz w:val="28"/>
                          <w:szCs w:val="28"/>
                          <w:vertAlign w:val="baseline"/>
                        </w:rPr>
                        <w:t>继续教育学院网址：http://jxjy.wfu.edu.cn</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vertAlign w:val="baseline"/>
                        </w:rPr>
                      </w:pPr>
                      <w:r>
                        <w:rPr>
                          <w:rFonts w:hint="eastAsia" w:ascii="黑体" w:hAnsi="黑体" w:eastAsia="黑体" w:cs="黑体"/>
                          <w:b/>
                          <w:bCs/>
                          <w:sz w:val="28"/>
                          <w:szCs w:val="28"/>
                          <w:vertAlign w:val="baseline"/>
                        </w:rPr>
                        <w:t>教务教学管理公共服务平台网址：http://wfxy.sdcen.cn</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vertAlign w:val="baseline"/>
                        </w:rPr>
                      </w:pPr>
                      <w:r>
                        <w:rPr>
                          <w:rFonts w:hint="eastAsia" w:ascii="黑体" w:hAnsi="黑体" w:eastAsia="黑体" w:cs="黑体"/>
                          <w:b/>
                          <w:bCs/>
                          <w:sz w:val="28"/>
                          <w:szCs w:val="28"/>
                          <w:vertAlign w:val="baseline"/>
                        </w:rPr>
                        <w:t>地址：潍坊市卧龙西街2829号（邮编261021）</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1160145</wp:posOffset>
                </wp:positionH>
                <wp:positionV relativeFrom="paragraph">
                  <wp:posOffset>6313805</wp:posOffset>
                </wp:positionV>
                <wp:extent cx="4057650" cy="552450"/>
                <wp:effectExtent l="6350" t="6350" r="12700" b="12700"/>
                <wp:wrapNone/>
                <wp:docPr id="2" name="矩形 2"/>
                <wp:cNvGraphicFramePr/>
                <a:graphic xmlns:a="http://schemas.openxmlformats.org/drawingml/2006/main">
                  <a:graphicData uri="http://schemas.microsoft.com/office/word/2010/wordprocessingShape">
                    <wps:wsp>
                      <wps:cNvSpPr/>
                      <wps:spPr>
                        <a:xfrm>
                          <a:off x="1584960" y="7004050"/>
                          <a:ext cx="4057650" cy="5524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b/>
                                <w:bCs/>
                                <w:sz w:val="48"/>
                                <w:szCs w:val="48"/>
                              </w:rPr>
                            </w:pPr>
                            <w:r>
                              <w:rPr>
                                <w:rFonts w:hint="eastAsia" w:ascii="黑体" w:hAnsi="黑体" w:eastAsia="黑体" w:cs="黑体"/>
                                <w:b/>
                                <w:bCs/>
                                <w:sz w:val="48"/>
                                <w:szCs w:val="48"/>
                              </w:rPr>
                              <w:t>潍坊学院函授教育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35pt;margin-top:497.15pt;height:43.5pt;width:319.5pt;z-index:251659264;v-text-anchor:middle;mso-width-relative:page;mso-height-relative:page;" fillcolor="#2E75B6 [2404]" filled="t" stroked="t" coordsize="21600,21600" o:gfxdata="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7AcZS2wAAAAwBAAAPAAAAAAAAAAEAIAAAACIAAABkcnMvZG93bnJldi54bWxQ&#10;SwECFAAUAAAACACHTuJAY9DkdZ8CAABOBQAADgAAAAAAAAABACAAAAAqAQAAZHJzL2Uyb0RvYy54&#10;bWxQSwUGAAAAAAYABgBZAQAAOwYAAAAA&#10;">
                <v:fill on="t" focussize="0,0"/>
                <v:stroke weight="1pt" color="#41719C [3204]" miterlimit="8" joinstyle="miter"/>
                <v:imagedata o:title=""/>
                <o:lock v:ext="edit" aspectratio="f"/>
                <v:textbox>
                  <w:txbxContent>
                    <w:p>
                      <w:pPr>
                        <w:jc w:val="center"/>
                        <w:rPr>
                          <w:rFonts w:hint="eastAsia" w:ascii="黑体" w:hAnsi="黑体" w:eastAsia="黑体" w:cs="黑体"/>
                          <w:b/>
                          <w:bCs/>
                          <w:sz w:val="48"/>
                          <w:szCs w:val="48"/>
                        </w:rPr>
                      </w:pPr>
                      <w:r>
                        <w:rPr>
                          <w:rFonts w:hint="eastAsia" w:ascii="黑体" w:hAnsi="黑体" w:eastAsia="黑体" w:cs="黑体"/>
                          <w:b/>
                          <w:bCs/>
                          <w:sz w:val="48"/>
                          <w:szCs w:val="48"/>
                        </w:rPr>
                        <w:t>潍坊学院函授教育</w:t>
                      </w:r>
                    </w:p>
                  </w:txbxContent>
                </v:textbox>
              </v:rect>
            </w:pict>
          </mc:Fallback>
        </mc:AlternateContent>
      </w:r>
      <w:r>
        <w:rPr>
          <w:rFonts w:hint="eastAsia" w:eastAsiaTheme="minorEastAsia"/>
          <w:lang w:eastAsia="zh-CN"/>
        </w:rPr>
        <w:drawing>
          <wp:inline distT="0" distB="0" distL="114300" distR="114300">
            <wp:extent cx="6524625" cy="8790305"/>
            <wp:effectExtent l="0" t="0" r="9525" b="10795"/>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pic:cNvPicPr>
                  </pic:nvPicPr>
                  <pic:blipFill>
                    <a:blip r:embed="rId4"/>
                    <a:stretch>
                      <a:fillRect/>
                    </a:stretch>
                  </pic:blipFill>
                  <pic:spPr>
                    <a:xfrm>
                      <a:off x="0" y="0"/>
                      <a:ext cx="6524625" cy="87903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一、学校简介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潍坊学院是教育部批准建立的省属全日制综合性普通本科高校，坐落在著名的风筝之都、全国文明城市——山东潍坊。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学校现设26个教学单位、72个本科专业，涉及理、工、文、经济、管理、农、法、历史、教育和艺术10大学科门类，面向全国29个省（自治区、直辖市）招生。现有教职工1984人，其中高级职称人员726人，博士生、硕士生导师132人，有俄罗斯工程院院士、国家高层次人才特殊支持计划入选人员等中青年专家54人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学校坚持开放办学，与国内多所高校交流合作，同英国、新加坡等20多个国家和地区的80多所高校建立了友好交流与合作关系，接收30余个国家的留学生来校学习。近年来，学校各项事业取得长足进展，多次荣获国家级、省级荣誉称号，人才培养质量得到用人单位和社会各界的广泛赞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sz w:val="24"/>
          <w:szCs w:val="24"/>
          <w:lang w:eastAsia="zh-CN"/>
        </w:rPr>
      </w:pPr>
      <w:r>
        <w:drawing>
          <wp:anchor distT="0" distB="0" distL="114935" distR="114935" simplePos="0" relativeHeight="251662336" behindDoc="0" locked="0" layoutInCell="1" allowOverlap="1">
            <wp:simplePos x="0" y="0"/>
            <wp:positionH relativeFrom="column">
              <wp:posOffset>2600325</wp:posOffset>
            </wp:positionH>
            <wp:positionV relativeFrom="paragraph">
              <wp:posOffset>652145</wp:posOffset>
            </wp:positionV>
            <wp:extent cx="2609850" cy="1743075"/>
            <wp:effectExtent l="0" t="0" r="0" b="952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2609850" cy="1743075"/>
                    </a:xfrm>
                    <a:prstGeom prst="rect">
                      <a:avLst/>
                    </a:prstGeom>
                    <a:noFill/>
                    <a:ln>
                      <a:noFill/>
                    </a:ln>
                  </pic:spPr>
                </pic:pic>
              </a:graphicData>
            </a:graphic>
          </wp:anchor>
        </w:drawing>
      </w:r>
      <w:r>
        <w:rPr>
          <w:rFonts w:hint="eastAsia" w:eastAsiaTheme="minorEastAsia"/>
          <w:sz w:val="24"/>
          <w:szCs w:val="24"/>
          <w:lang w:eastAsia="zh-CN"/>
        </w:rPr>
        <w:t>举办函授教育以来，为各行各业培养了10万余名人才，为地方经济建设和各项事业发展做出了积极贡献，深受社会各界赞誉。继续教育学院是学校成人学历教育和非学历教育的职能部门，负责统筹全校专业师资、图书资料等教学资源面向社会举办函授教育、电大开放教育、各类培训等各类继续教育项目。2022年学校继续举办函授教育，现面向社会发布2022年函授教育招生简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二、办学优势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 学校举办成人高等教育历史悠久，创办函授教育已有40余年历史，具有成功函授教育开办经验。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 突出成人学习特点，采取更人性化管理模式，主要采用网上平台授课模式，积极推进线上考试，有效解决工学矛盾。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 跨专业培养，满足多元化知识需求，除就读专业课程外，学生可自主申请学习其它专业相关课程。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 以素质提升为导向，加强同行业交流，提高社交关系需求。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三、招生专业</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cs="宋体" w:asciiTheme="majorEastAsia" w:hAnsiTheme="majorEastAsia" w:eastAsiaTheme="majorEastAsia"/>
          <w:b/>
          <w:bCs/>
          <w:color w:val="302F2F"/>
          <w:kern w:val="0"/>
          <w:sz w:val="27"/>
          <w:lang w:eastAsia="zh-CN"/>
        </w:rPr>
      </w:pPr>
      <w:r>
        <w:rPr>
          <w:rFonts w:hint="eastAsia" w:cs="宋体" w:asciiTheme="majorEastAsia" w:hAnsiTheme="majorEastAsia" w:eastAsiaTheme="majorEastAsia"/>
          <w:b/>
          <w:bCs/>
          <w:color w:val="302F2F"/>
          <w:kern w:val="0"/>
          <w:sz w:val="27"/>
          <w:lang w:eastAsia="zh-CN"/>
        </w:rPr>
        <w:t>专升本（学制</w:t>
      </w:r>
      <w:r>
        <w:rPr>
          <w:rFonts w:hint="eastAsia" w:cs="宋体" w:asciiTheme="majorEastAsia" w:hAnsiTheme="majorEastAsia" w:eastAsiaTheme="majorEastAsia"/>
          <w:b/>
          <w:bCs/>
          <w:color w:val="302F2F"/>
          <w:kern w:val="0"/>
          <w:sz w:val="27"/>
          <w:lang w:val="en-US" w:eastAsia="zh-CN"/>
        </w:rPr>
        <w:t>2.5年</w:t>
      </w:r>
      <w:r>
        <w:rPr>
          <w:rFonts w:hint="eastAsia" w:cs="宋体" w:asciiTheme="majorEastAsia" w:hAnsiTheme="majorEastAsia" w:eastAsiaTheme="majorEastAsia"/>
          <w:b/>
          <w:bCs/>
          <w:color w:val="302F2F"/>
          <w:kern w:val="0"/>
          <w:sz w:val="27"/>
          <w:lang w:eastAsia="zh-CN"/>
        </w:rPr>
        <w:t>）</w:t>
      </w:r>
    </w:p>
    <w:tbl>
      <w:tblPr>
        <w:tblStyle w:val="2"/>
        <w:tblW w:w="9409" w:type="dxa"/>
        <w:jc w:val="center"/>
        <w:tblLayout w:type="fixed"/>
        <w:tblCellMar>
          <w:top w:w="15" w:type="dxa"/>
          <w:left w:w="15" w:type="dxa"/>
          <w:bottom w:w="15" w:type="dxa"/>
          <w:right w:w="15" w:type="dxa"/>
        </w:tblCellMar>
      </w:tblPr>
      <w:tblGrid>
        <w:gridCol w:w="705"/>
        <w:gridCol w:w="2838"/>
        <w:gridCol w:w="1576"/>
        <w:gridCol w:w="1215"/>
        <w:gridCol w:w="3075"/>
      </w:tblGrid>
      <w:tr>
        <w:tblPrEx>
          <w:tblCellMar>
            <w:top w:w="15" w:type="dxa"/>
            <w:left w:w="15" w:type="dxa"/>
            <w:bottom w:w="15" w:type="dxa"/>
            <w:right w:w="15" w:type="dxa"/>
          </w:tblCellMar>
        </w:tblPrEx>
        <w:trPr>
          <w:trHeight w:val="454" w:hRule="atLeast"/>
          <w:jc w:val="center"/>
        </w:trPr>
        <w:tc>
          <w:tcPr>
            <w:tcW w:w="705" w:type="dxa"/>
            <w:tcBorders>
              <w:top w:val="single" w:color="000000" w:sz="8" w:space="0"/>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序号</w:t>
            </w:r>
          </w:p>
        </w:tc>
        <w:tc>
          <w:tcPr>
            <w:tcW w:w="2838"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专业名称</w:t>
            </w:r>
          </w:p>
        </w:tc>
        <w:tc>
          <w:tcPr>
            <w:tcW w:w="1576"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学费（元/年）</w:t>
            </w:r>
          </w:p>
        </w:tc>
        <w:tc>
          <w:tcPr>
            <w:tcW w:w="121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招生科类</w:t>
            </w:r>
          </w:p>
        </w:tc>
        <w:tc>
          <w:tcPr>
            <w:tcW w:w="307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入学统考科目</w:t>
            </w: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eastAsia="zh-CN"/>
              </w:rPr>
            </w:pPr>
            <w:r>
              <w:rPr>
                <w:rFonts w:hint="eastAsia" w:cs="宋体" w:asciiTheme="majorEastAsia" w:hAnsiTheme="majorEastAsia" w:eastAsiaTheme="majorEastAsia"/>
                <w:color w:val="302F2F"/>
                <w:kern w:val="0"/>
                <w:sz w:val="22"/>
                <w:lang w:val="en-US" w:eastAsia="zh-CN"/>
              </w:rPr>
              <w:t>1</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汉语言文学</w:t>
            </w:r>
          </w:p>
        </w:tc>
        <w:tc>
          <w:tcPr>
            <w:tcW w:w="1576"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2000</w:t>
            </w:r>
          </w:p>
        </w:tc>
        <w:tc>
          <w:tcPr>
            <w:tcW w:w="121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文史类</w:t>
            </w:r>
          </w:p>
        </w:tc>
        <w:tc>
          <w:tcPr>
            <w:tcW w:w="307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政治、外语、大学语文</w:t>
            </w: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2</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数学与应用数学</w:t>
            </w:r>
          </w:p>
        </w:tc>
        <w:tc>
          <w:tcPr>
            <w:tcW w:w="1576"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r>
              <w:rPr>
                <w:rFonts w:hint="eastAsia" w:cs="宋体" w:asciiTheme="majorEastAsia" w:hAnsiTheme="majorEastAsia" w:eastAsiaTheme="majorEastAsia"/>
                <w:color w:val="302F2F"/>
                <w:kern w:val="0"/>
                <w:sz w:val="22"/>
              </w:rPr>
              <w:t>2200</w:t>
            </w:r>
          </w:p>
        </w:tc>
        <w:tc>
          <w:tcPr>
            <w:tcW w:w="121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r>
              <w:rPr>
                <w:rFonts w:hint="eastAsia" w:cs="宋体" w:asciiTheme="majorEastAsia" w:hAnsiTheme="majorEastAsia" w:eastAsiaTheme="majorEastAsia"/>
                <w:color w:val="302F2F"/>
                <w:kern w:val="0"/>
                <w:sz w:val="22"/>
              </w:rPr>
              <w:t>理工类</w:t>
            </w:r>
          </w:p>
        </w:tc>
        <w:tc>
          <w:tcPr>
            <w:tcW w:w="307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r>
              <w:rPr>
                <w:rFonts w:hint="eastAsia" w:cs="宋体" w:asciiTheme="majorEastAsia" w:hAnsiTheme="majorEastAsia" w:eastAsiaTheme="majorEastAsia"/>
                <w:color w:val="302F2F"/>
                <w:kern w:val="0"/>
                <w:sz w:val="22"/>
              </w:rPr>
              <w:t>政治、外语、高数（一）</w:t>
            </w: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3</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机械设计制造及其自动化</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4</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电子信息工程</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5</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计算机科学与技术</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6</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土木工程</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7</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s="宋体" w:asciiTheme="majorEastAsia" w:hAnsiTheme="majorEastAsia" w:eastAsiaTheme="majorEastAsia"/>
                <w:color w:val="302F2F"/>
                <w:kern w:val="0"/>
                <w:sz w:val="22"/>
                <w:szCs w:val="22"/>
                <w:lang w:val="en-US" w:eastAsia="zh-CN" w:bidi="ar-SA"/>
              </w:rPr>
            </w:pPr>
            <w:r>
              <w:rPr>
                <w:rFonts w:hint="eastAsia" w:cs="宋体" w:asciiTheme="majorEastAsia" w:hAnsiTheme="majorEastAsia" w:eastAsiaTheme="majorEastAsia"/>
                <w:color w:val="302F2F"/>
                <w:kern w:val="0"/>
                <w:sz w:val="22"/>
              </w:rPr>
              <w:t>车辆工程</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8</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s="宋体" w:asciiTheme="majorEastAsia" w:hAnsiTheme="majorEastAsia" w:eastAsiaTheme="majorEastAsia"/>
                <w:color w:val="302F2F"/>
                <w:kern w:val="0"/>
                <w:sz w:val="22"/>
                <w:szCs w:val="22"/>
                <w:lang w:val="en-US" w:eastAsia="zh-CN" w:bidi="ar-SA"/>
              </w:rPr>
            </w:pPr>
            <w:r>
              <w:rPr>
                <w:rFonts w:hint="eastAsia" w:cs="宋体" w:asciiTheme="majorEastAsia" w:hAnsiTheme="majorEastAsia" w:eastAsiaTheme="majorEastAsia"/>
                <w:color w:val="302F2F"/>
                <w:kern w:val="0"/>
                <w:sz w:val="22"/>
              </w:rPr>
              <w:t>化学工程与工艺</w:t>
            </w:r>
          </w:p>
        </w:tc>
        <w:tc>
          <w:tcPr>
            <w:tcW w:w="1576"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p>
        </w:tc>
        <w:tc>
          <w:tcPr>
            <w:tcW w:w="121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p>
        </w:tc>
        <w:tc>
          <w:tcPr>
            <w:tcW w:w="307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szCs w:val="22"/>
                <w:lang w:val="en-US" w:eastAsia="zh-CN" w:bidi="ar-SA"/>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9</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工程管理</w:t>
            </w:r>
          </w:p>
        </w:tc>
        <w:tc>
          <w:tcPr>
            <w:tcW w:w="1576"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2200</w:t>
            </w:r>
          </w:p>
        </w:tc>
        <w:tc>
          <w:tcPr>
            <w:tcW w:w="121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经管类</w:t>
            </w:r>
          </w:p>
        </w:tc>
        <w:tc>
          <w:tcPr>
            <w:tcW w:w="307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政治、外语、高数（二）</w:t>
            </w: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10</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市场营销</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11</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会计学</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rPr>
              <w:t>1</w:t>
            </w:r>
            <w:r>
              <w:rPr>
                <w:rFonts w:hint="eastAsia" w:cs="宋体" w:asciiTheme="majorEastAsia" w:hAnsiTheme="majorEastAsia" w:eastAsiaTheme="majorEastAsia"/>
                <w:color w:val="302F2F"/>
                <w:kern w:val="0"/>
                <w:sz w:val="22"/>
                <w:lang w:val="en-US" w:eastAsia="zh-CN"/>
              </w:rPr>
              <w:t>2</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经济与金融</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rPr>
              <w:t>1</w:t>
            </w:r>
            <w:r>
              <w:rPr>
                <w:rFonts w:hint="eastAsia" w:cs="宋体" w:asciiTheme="majorEastAsia" w:hAnsiTheme="majorEastAsia" w:eastAsiaTheme="majorEastAsia"/>
                <w:color w:val="302F2F"/>
                <w:kern w:val="0"/>
                <w:sz w:val="22"/>
                <w:lang w:val="en-US" w:eastAsia="zh-CN"/>
              </w:rPr>
              <w:t>3</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行政管理</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rPr>
              <w:t>1</w:t>
            </w:r>
            <w:r>
              <w:rPr>
                <w:rFonts w:hint="eastAsia" w:cs="宋体" w:asciiTheme="majorEastAsia" w:hAnsiTheme="majorEastAsia" w:eastAsiaTheme="majorEastAsia"/>
                <w:color w:val="302F2F"/>
                <w:kern w:val="0"/>
                <w:sz w:val="22"/>
                <w:lang w:val="en-US" w:eastAsia="zh-CN"/>
              </w:rPr>
              <w:t>4</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应用心理学</w:t>
            </w:r>
          </w:p>
        </w:tc>
        <w:tc>
          <w:tcPr>
            <w:tcW w:w="1576"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307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rPr>
              <w:t>1</w:t>
            </w:r>
            <w:r>
              <w:rPr>
                <w:rFonts w:hint="eastAsia" w:cs="宋体" w:asciiTheme="majorEastAsia" w:hAnsiTheme="majorEastAsia" w:eastAsiaTheme="majorEastAsia"/>
                <w:color w:val="302F2F"/>
                <w:kern w:val="0"/>
                <w:sz w:val="22"/>
                <w:lang w:val="en-US" w:eastAsia="zh-CN"/>
              </w:rPr>
              <w:t>5</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法学</w:t>
            </w:r>
          </w:p>
        </w:tc>
        <w:tc>
          <w:tcPr>
            <w:tcW w:w="1576"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2000</w:t>
            </w:r>
          </w:p>
        </w:tc>
        <w:tc>
          <w:tcPr>
            <w:tcW w:w="121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法学类</w:t>
            </w:r>
          </w:p>
        </w:tc>
        <w:tc>
          <w:tcPr>
            <w:tcW w:w="307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政治、外语、民法</w:t>
            </w: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rPr>
              <w:t>1</w:t>
            </w:r>
            <w:r>
              <w:rPr>
                <w:rFonts w:hint="eastAsia" w:cs="宋体" w:asciiTheme="majorEastAsia" w:hAnsiTheme="majorEastAsia" w:eastAsiaTheme="majorEastAsia"/>
                <w:color w:val="302F2F"/>
                <w:kern w:val="0"/>
                <w:sz w:val="22"/>
                <w:lang w:val="en-US" w:eastAsia="zh-CN"/>
              </w:rPr>
              <w:t>6</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小学教育</w:t>
            </w:r>
          </w:p>
        </w:tc>
        <w:tc>
          <w:tcPr>
            <w:tcW w:w="1576"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2000</w:t>
            </w:r>
          </w:p>
        </w:tc>
        <w:tc>
          <w:tcPr>
            <w:tcW w:w="121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教育学类</w:t>
            </w:r>
          </w:p>
        </w:tc>
        <w:tc>
          <w:tcPr>
            <w:tcW w:w="307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政治、外语、教育理论</w:t>
            </w: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rPr>
              <w:t>1</w:t>
            </w:r>
            <w:r>
              <w:rPr>
                <w:rFonts w:hint="eastAsia" w:cs="宋体" w:asciiTheme="majorEastAsia" w:hAnsiTheme="majorEastAsia" w:eastAsiaTheme="majorEastAsia"/>
                <w:color w:val="302F2F"/>
                <w:kern w:val="0"/>
                <w:sz w:val="22"/>
                <w:lang w:val="en-US" w:eastAsia="zh-CN"/>
              </w:rPr>
              <w:t>7</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学前教育</w:t>
            </w:r>
          </w:p>
        </w:tc>
        <w:tc>
          <w:tcPr>
            <w:tcW w:w="157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18</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特殊教育</w:t>
            </w:r>
          </w:p>
        </w:tc>
        <w:tc>
          <w:tcPr>
            <w:tcW w:w="1576"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s="宋体" w:asciiTheme="majorEastAsia" w:hAnsiTheme="majorEastAsia" w:eastAsiaTheme="majorEastAsia"/>
                <w:color w:val="302F2F"/>
                <w:kern w:val="0"/>
                <w:sz w:val="22"/>
                <w:lang w:val="en-US" w:eastAsia="zh-CN"/>
              </w:rPr>
            </w:pPr>
            <w:r>
              <w:rPr>
                <w:rFonts w:hint="eastAsia" w:cs="宋体" w:asciiTheme="majorEastAsia" w:hAnsiTheme="majorEastAsia" w:eastAsiaTheme="majorEastAsia"/>
                <w:color w:val="302F2F"/>
                <w:kern w:val="0"/>
                <w:sz w:val="22"/>
                <w:lang w:val="en-US" w:eastAsia="zh-CN"/>
              </w:rPr>
              <w:t>19</w:t>
            </w:r>
          </w:p>
        </w:tc>
        <w:tc>
          <w:tcPr>
            <w:tcW w:w="2838"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体育教育</w:t>
            </w:r>
          </w:p>
        </w:tc>
        <w:tc>
          <w:tcPr>
            <w:tcW w:w="1576"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2200</w:t>
            </w:r>
          </w:p>
        </w:tc>
        <w:tc>
          <w:tcPr>
            <w:tcW w:w="121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c>
          <w:tcPr>
            <w:tcW w:w="307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42" w:firstLineChars="200"/>
        <w:jc w:val="center"/>
        <w:textAlignment w:val="auto"/>
        <w:rPr>
          <w:rFonts w:cs="宋体" w:asciiTheme="majorEastAsia" w:hAnsiTheme="majorEastAsia" w:eastAsiaTheme="majorEastAsia"/>
          <w:bCs/>
          <w:color w:val="302F2F"/>
          <w:kern w:val="0"/>
          <w:sz w:val="24"/>
          <w:szCs w:val="24"/>
        </w:rPr>
      </w:pPr>
      <w:r>
        <w:rPr>
          <w:rFonts w:hint="eastAsia" w:cs="宋体" w:asciiTheme="majorEastAsia" w:hAnsiTheme="majorEastAsia" w:eastAsiaTheme="majorEastAsia"/>
          <w:b/>
          <w:bCs/>
          <w:color w:val="302F2F"/>
          <w:kern w:val="0"/>
          <w:sz w:val="27"/>
          <w:lang w:eastAsia="zh-CN"/>
        </w:rPr>
        <w:t>高起本（学制</w:t>
      </w:r>
      <w:r>
        <w:rPr>
          <w:rFonts w:hint="eastAsia" w:cs="宋体" w:asciiTheme="majorEastAsia" w:hAnsiTheme="majorEastAsia" w:eastAsiaTheme="majorEastAsia"/>
          <w:b/>
          <w:bCs/>
          <w:color w:val="302F2F"/>
          <w:kern w:val="0"/>
          <w:sz w:val="27"/>
          <w:lang w:val="en-US" w:eastAsia="zh-CN"/>
        </w:rPr>
        <w:t>5年</w:t>
      </w:r>
      <w:r>
        <w:rPr>
          <w:rFonts w:hint="eastAsia" w:cs="宋体" w:asciiTheme="majorEastAsia" w:hAnsiTheme="majorEastAsia" w:eastAsiaTheme="majorEastAsia"/>
          <w:b/>
          <w:bCs/>
          <w:color w:val="302F2F"/>
          <w:kern w:val="0"/>
          <w:sz w:val="27"/>
          <w:lang w:eastAsia="zh-CN"/>
        </w:rPr>
        <w:t>）</w:t>
      </w:r>
    </w:p>
    <w:tbl>
      <w:tblPr>
        <w:tblStyle w:val="2"/>
        <w:tblW w:w="9454" w:type="dxa"/>
        <w:jc w:val="center"/>
        <w:tblLayout w:type="fixed"/>
        <w:tblCellMar>
          <w:top w:w="15" w:type="dxa"/>
          <w:left w:w="15" w:type="dxa"/>
          <w:bottom w:w="15" w:type="dxa"/>
          <w:right w:w="15" w:type="dxa"/>
        </w:tblCellMar>
      </w:tblPr>
      <w:tblGrid>
        <w:gridCol w:w="705"/>
        <w:gridCol w:w="1840"/>
        <w:gridCol w:w="2265"/>
        <w:gridCol w:w="1509"/>
        <w:gridCol w:w="3135"/>
      </w:tblGrid>
      <w:tr>
        <w:trPr>
          <w:trHeight w:val="454" w:hRule="atLeast"/>
          <w:jc w:val="center"/>
        </w:trPr>
        <w:tc>
          <w:tcPr>
            <w:tcW w:w="705" w:type="dxa"/>
            <w:tcBorders>
              <w:top w:val="single" w:color="000000" w:sz="8" w:space="0"/>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序号</w:t>
            </w:r>
          </w:p>
        </w:tc>
        <w:tc>
          <w:tcPr>
            <w:tcW w:w="1840"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专业名称</w:t>
            </w:r>
          </w:p>
        </w:tc>
        <w:tc>
          <w:tcPr>
            <w:tcW w:w="226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学费标准（元/年）</w:t>
            </w:r>
          </w:p>
        </w:tc>
        <w:tc>
          <w:tcPr>
            <w:tcW w:w="1509"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招生科类</w:t>
            </w:r>
          </w:p>
        </w:tc>
        <w:tc>
          <w:tcPr>
            <w:tcW w:w="313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rPr>
            </w:pPr>
            <w:r>
              <w:rPr>
                <w:rFonts w:hint="eastAsia"/>
                <w:b/>
                <w:bCs/>
              </w:rPr>
              <w:t>入学统考科目</w:t>
            </w:r>
          </w:p>
        </w:tc>
      </w:tr>
      <w:tr>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1</w:t>
            </w:r>
          </w:p>
        </w:tc>
        <w:tc>
          <w:tcPr>
            <w:tcW w:w="1840"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学前教育</w:t>
            </w:r>
          </w:p>
        </w:tc>
        <w:tc>
          <w:tcPr>
            <w:tcW w:w="226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2000</w:t>
            </w:r>
          </w:p>
        </w:tc>
        <w:tc>
          <w:tcPr>
            <w:tcW w:w="1509"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文史/理工类</w:t>
            </w:r>
          </w:p>
        </w:tc>
        <w:tc>
          <w:tcPr>
            <w:tcW w:w="313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语文、数学、外语、史地/理化</w:t>
            </w:r>
          </w:p>
        </w:tc>
      </w:tr>
      <w:tr>
        <w:tblPrEx>
          <w:tblCellMar>
            <w:top w:w="15" w:type="dxa"/>
            <w:left w:w="15" w:type="dxa"/>
            <w:bottom w:w="15" w:type="dxa"/>
            <w:right w:w="15" w:type="dxa"/>
          </w:tblCellMar>
        </w:tblPrEx>
        <w:trPr>
          <w:trHeight w:val="454"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w:t>
            </w:r>
          </w:p>
        </w:tc>
        <w:tc>
          <w:tcPr>
            <w:tcW w:w="1840"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会计学</w:t>
            </w:r>
          </w:p>
        </w:tc>
        <w:tc>
          <w:tcPr>
            <w:tcW w:w="226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2200</w:t>
            </w:r>
          </w:p>
        </w:tc>
        <w:tc>
          <w:tcPr>
            <w:tcW w:w="1509"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c>
          <w:tcPr>
            <w:tcW w:w="313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r>
    </w:tbl>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cs="宋体" w:asciiTheme="majorEastAsia" w:hAnsiTheme="majorEastAsia" w:eastAsiaTheme="majorEastAsia"/>
          <w:b/>
          <w:bCs/>
          <w:color w:val="302F2F"/>
          <w:kern w:val="0"/>
          <w:sz w:val="27"/>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cs="宋体" w:asciiTheme="majorEastAsia" w:hAnsiTheme="majorEastAsia" w:eastAsiaTheme="majorEastAsia"/>
          <w:b/>
          <w:bCs/>
          <w:color w:val="302F2F"/>
          <w:kern w:val="0"/>
          <w:sz w:val="27"/>
        </w:rPr>
      </w:pPr>
      <w:r>
        <w:rPr>
          <w:rFonts w:hint="eastAsia" w:cs="宋体" w:asciiTheme="majorEastAsia" w:hAnsiTheme="majorEastAsia" w:eastAsiaTheme="majorEastAsia"/>
          <w:b/>
          <w:bCs/>
          <w:color w:val="302F2F"/>
          <w:kern w:val="0"/>
          <w:sz w:val="27"/>
          <w:lang w:eastAsia="zh-CN"/>
        </w:rPr>
        <w:t>高起专（学制</w:t>
      </w:r>
      <w:r>
        <w:rPr>
          <w:rFonts w:hint="eastAsia" w:cs="宋体" w:asciiTheme="majorEastAsia" w:hAnsiTheme="majorEastAsia" w:eastAsiaTheme="majorEastAsia"/>
          <w:b/>
          <w:bCs/>
          <w:color w:val="302F2F"/>
          <w:kern w:val="0"/>
          <w:sz w:val="27"/>
          <w:lang w:val="en-US" w:eastAsia="zh-CN"/>
        </w:rPr>
        <w:t>2.5年</w:t>
      </w:r>
      <w:r>
        <w:rPr>
          <w:rFonts w:hint="eastAsia" w:cs="宋体" w:asciiTheme="majorEastAsia" w:hAnsiTheme="majorEastAsia" w:eastAsiaTheme="majorEastAsia"/>
          <w:b/>
          <w:bCs/>
          <w:color w:val="302F2F"/>
          <w:kern w:val="0"/>
          <w:sz w:val="27"/>
          <w:lang w:eastAsia="zh-CN"/>
        </w:rPr>
        <w:t>）</w:t>
      </w:r>
    </w:p>
    <w:tbl>
      <w:tblPr>
        <w:tblStyle w:val="2"/>
        <w:tblW w:w="9439" w:type="dxa"/>
        <w:jc w:val="center"/>
        <w:tblLayout w:type="fixed"/>
        <w:tblCellMar>
          <w:top w:w="15" w:type="dxa"/>
          <w:left w:w="15" w:type="dxa"/>
          <w:bottom w:w="15" w:type="dxa"/>
          <w:right w:w="15" w:type="dxa"/>
        </w:tblCellMar>
      </w:tblPr>
      <w:tblGrid>
        <w:gridCol w:w="704"/>
        <w:gridCol w:w="2525"/>
        <w:gridCol w:w="1785"/>
        <w:gridCol w:w="1589"/>
        <w:gridCol w:w="2836"/>
      </w:tblGrid>
      <w:tr>
        <w:tblPrEx>
          <w:tblCellMar>
            <w:top w:w="15" w:type="dxa"/>
            <w:left w:w="15" w:type="dxa"/>
            <w:bottom w:w="15" w:type="dxa"/>
            <w:right w:w="15" w:type="dxa"/>
          </w:tblCellMar>
        </w:tblPrEx>
        <w:trPr>
          <w:trHeight w:val="454" w:hRule="atLeast"/>
          <w:jc w:val="center"/>
        </w:trPr>
        <w:tc>
          <w:tcPr>
            <w:tcW w:w="704" w:type="dxa"/>
            <w:tcBorders>
              <w:top w:val="single" w:color="000000" w:sz="8" w:space="0"/>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b/>
                <w:bCs/>
              </w:rPr>
              <w:t>序号</w:t>
            </w:r>
          </w:p>
        </w:tc>
        <w:tc>
          <w:tcPr>
            <w:tcW w:w="252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b/>
                <w:bCs/>
              </w:rPr>
              <w:t>专业名称</w:t>
            </w:r>
          </w:p>
        </w:tc>
        <w:tc>
          <w:tcPr>
            <w:tcW w:w="178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b/>
                <w:bCs/>
              </w:rPr>
              <w:t>学费（元/年）</w:t>
            </w:r>
          </w:p>
        </w:tc>
        <w:tc>
          <w:tcPr>
            <w:tcW w:w="1589"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b/>
                <w:bCs/>
              </w:rPr>
              <w:t>招生科类</w:t>
            </w:r>
          </w:p>
        </w:tc>
        <w:tc>
          <w:tcPr>
            <w:tcW w:w="2836"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b/>
                <w:bCs/>
                <w:lang w:eastAsia="zh-CN"/>
              </w:rPr>
              <w:t>入学统考</w:t>
            </w:r>
            <w:r>
              <w:rPr>
                <w:rFonts w:hint="eastAsia"/>
                <w:b/>
                <w:bCs/>
              </w:rPr>
              <w:t>科目</w:t>
            </w:r>
          </w:p>
        </w:tc>
      </w:tr>
      <w:tr>
        <w:tblPrEx>
          <w:tblCellMar>
            <w:top w:w="15" w:type="dxa"/>
            <w:left w:w="15" w:type="dxa"/>
            <w:bottom w:w="15" w:type="dxa"/>
            <w:right w:w="15" w:type="dxa"/>
          </w:tblCellMar>
        </w:tblPrEx>
        <w:trPr>
          <w:trHeight w:val="454"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1</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大数据与会计</w:t>
            </w:r>
          </w:p>
        </w:tc>
        <w:tc>
          <w:tcPr>
            <w:tcW w:w="178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2200</w:t>
            </w:r>
          </w:p>
        </w:tc>
        <w:tc>
          <w:tcPr>
            <w:tcW w:w="1589"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文史/理工类</w:t>
            </w:r>
          </w:p>
        </w:tc>
        <w:tc>
          <w:tcPr>
            <w:tcW w:w="2836"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ajorEastAsia" w:hAnsiTheme="majorEastAsia" w:eastAsiaTheme="majorEastAsia"/>
                <w:color w:val="302F2F"/>
                <w:kern w:val="0"/>
                <w:sz w:val="22"/>
                <w:lang w:eastAsia="zh-CN"/>
              </w:rPr>
            </w:pPr>
            <w:r>
              <w:rPr>
                <w:rFonts w:hint="eastAsia" w:cs="宋体" w:asciiTheme="majorEastAsia" w:hAnsiTheme="majorEastAsia" w:eastAsiaTheme="majorEastAsia"/>
                <w:color w:val="302F2F"/>
                <w:kern w:val="0"/>
                <w:sz w:val="22"/>
              </w:rPr>
              <w:t>语文、数学、外语</w:t>
            </w:r>
          </w:p>
        </w:tc>
      </w:tr>
      <w:tr>
        <w:tblPrEx>
          <w:tblCellMar>
            <w:top w:w="15" w:type="dxa"/>
            <w:left w:w="15" w:type="dxa"/>
            <w:bottom w:w="15" w:type="dxa"/>
            <w:right w:w="15" w:type="dxa"/>
          </w:tblCellMar>
        </w:tblPrEx>
        <w:trPr>
          <w:trHeight w:val="454"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工商企业管理</w:t>
            </w:r>
          </w:p>
        </w:tc>
        <w:tc>
          <w:tcPr>
            <w:tcW w:w="178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1589"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283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3</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学前教育</w:t>
            </w:r>
          </w:p>
        </w:tc>
        <w:tc>
          <w:tcPr>
            <w:tcW w:w="178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2000</w:t>
            </w:r>
          </w:p>
        </w:tc>
        <w:tc>
          <w:tcPr>
            <w:tcW w:w="1589"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p>
        </w:tc>
        <w:tc>
          <w:tcPr>
            <w:tcW w:w="283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4</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电气自动化技术</w:t>
            </w:r>
          </w:p>
        </w:tc>
        <w:tc>
          <w:tcPr>
            <w:tcW w:w="178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2200</w:t>
            </w:r>
          </w:p>
        </w:tc>
        <w:tc>
          <w:tcPr>
            <w:tcW w:w="1589"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理工类</w:t>
            </w:r>
          </w:p>
        </w:tc>
        <w:tc>
          <w:tcPr>
            <w:tcW w:w="2836"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r>
      <w:tr>
        <w:tblPrEx>
          <w:tblCellMar>
            <w:top w:w="15" w:type="dxa"/>
            <w:left w:w="15" w:type="dxa"/>
            <w:bottom w:w="15" w:type="dxa"/>
            <w:right w:w="15" w:type="dxa"/>
          </w:tblCellMar>
        </w:tblPrEx>
        <w:trPr>
          <w:trHeight w:val="454"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5</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r>
              <w:rPr>
                <w:rFonts w:hint="eastAsia" w:cs="宋体" w:asciiTheme="majorEastAsia" w:hAnsiTheme="majorEastAsia" w:eastAsiaTheme="majorEastAsia"/>
                <w:color w:val="302F2F"/>
                <w:kern w:val="0"/>
                <w:sz w:val="22"/>
              </w:rPr>
              <w:t>机械制造及自动化</w:t>
            </w:r>
          </w:p>
        </w:tc>
        <w:tc>
          <w:tcPr>
            <w:tcW w:w="178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c>
          <w:tcPr>
            <w:tcW w:w="1589"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c>
          <w:tcPr>
            <w:tcW w:w="2836"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宋体" w:asciiTheme="majorEastAsia" w:hAnsiTheme="majorEastAsia" w:eastAsiaTheme="majorEastAsia"/>
                <w:color w:val="302F2F"/>
                <w:kern w:val="0"/>
                <w:sz w:val="22"/>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eastAsiaTheme="minorEastAsia"/>
          <w:sz w:val="24"/>
          <w:szCs w:val="24"/>
          <w:lang w:eastAsia="zh-CN"/>
        </w:rPr>
        <w:t>注：1.招生专业如有变化，以山东省教育招生考试院公布内容为准。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2.入学考试每科满分150分，满分450分，高起本满分600分。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3.高起专学制2.5年，学籍注册后3.5年有效；高起本学制5年，学籍注册后6年有效；专升本学制2.5年，学籍注册后3.5年有效。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四、报考说明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default" w:eastAsiaTheme="minorEastAsia"/>
          <w:b/>
          <w:bCs/>
          <w:sz w:val="24"/>
          <w:szCs w:val="24"/>
          <w:lang w:val="en-US" w:eastAsia="zh-CN"/>
        </w:rPr>
        <w:t>（一）报考条件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t>报考高中起点专科、本科考生必须取得高级中等教育学校毕业证书或具有同等学力。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t>报考专科起点本科考生必须取得经教育部审定核准的国民教育系列高等学校、高等教育自学考试机构颁发的专科毕业证书、本科结业证书或以上证书的人员（学信网可查）。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default" w:eastAsiaTheme="minorEastAsia"/>
          <w:b/>
          <w:bCs/>
          <w:sz w:val="24"/>
          <w:szCs w:val="24"/>
          <w:lang w:val="en-US" w:eastAsia="zh-CN"/>
        </w:rPr>
        <w:t xml:space="preserve">（二）报名及考试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t>招生简章发布之日起到潍坊学院继续教育学院及各函授站点咨询预报名。8月中、下旬（以当年省级招生主管部门官网通知为准）登录山东省教育招生考试院网站（http://www.sdzk.cn）正式报名</w:t>
      </w:r>
      <w:r>
        <w:rPr>
          <w:rFonts w:hint="default" w:eastAsiaTheme="minorEastAsia"/>
          <w:b/>
          <w:bCs/>
          <w:color w:val="FF0000"/>
          <w:sz w:val="24"/>
          <w:szCs w:val="24"/>
          <w:lang w:val="en-US" w:eastAsia="zh-CN"/>
        </w:rPr>
        <w:t>（潍坊学院学校代码：11067）</w:t>
      </w:r>
      <w:r>
        <w:rPr>
          <w:rFonts w:hint="default" w:eastAsiaTheme="minorEastAsia"/>
          <w:sz w:val="24"/>
          <w:szCs w:val="24"/>
          <w:lang w:val="en-US" w:eastAsia="zh-CN"/>
        </w:rPr>
        <w:t>，并在规定时间内到当地招生办公室指定地点进行信息确认、现场照相（因疫情等原因具体要求以当年省级招生主管部门官网通知为准），信息确认后考生自行网上缴纳报名考试费并打印准考证。10月下旬参加全国统一成人高等教育招生入学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t>报考体育类专业的考生须进行专业技能考试，具体考试安排另行通知。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default" w:eastAsiaTheme="minorEastAsia"/>
          <w:b/>
          <w:bCs/>
          <w:sz w:val="24"/>
          <w:szCs w:val="24"/>
          <w:lang w:val="en-US" w:eastAsia="zh-CN"/>
        </w:rPr>
        <w:t>（三）录取及毕业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t>在山东省教育招生考试院划定录取最低控制分数线上择优录取，并发放录取通知书。学生学习期满，按教学计划修完全部课程，成绩合格，颁发由教育部电子注册的成人高等教育毕业证书。符合条件的本科毕业生授予成人高等教育学士学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default" w:eastAsiaTheme="minorEastAsia"/>
          <w:b/>
          <w:bCs/>
          <w:sz w:val="24"/>
          <w:szCs w:val="24"/>
          <w:lang w:val="en-US" w:eastAsia="zh-CN"/>
        </w:rPr>
        <w:t>（四）学习方式及收费标准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t>采取线上、线下自主学习和集中面授相结合的方式组织学习。学生通过学校继续教育学院教务教学管理公共服务平台进行学习；学期末（寒暑假），在相应函授站集中面授辅导与考试。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t>严格按照省物价局、省财政厅、省教育厅主管部门核定的各专业收费标准收取学费；学费按学年收取；学生在每年3月注册学籍时交纳当学年学费。</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2022年通过省教育厅</w:t>
      </w:r>
      <w:r>
        <w:rPr>
          <w:rFonts w:hint="default" w:eastAsiaTheme="minorEastAsia"/>
          <w:b/>
          <w:bCs/>
          <w:sz w:val="24"/>
          <w:szCs w:val="24"/>
          <w:lang w:val="en-US" w:eastAsia="zh-CN"/>
        </w:rPr>
        <w:t>备案函授站</w:t>
      </w:r>
    </w:p>
    <w:tbl>
      <w:tblPr>
        <w:tblStyle w:val="2"/>
        <w:tblW w:w="9464" w:type="dxa"/>
        <w:jc w:val="center"/>
        <w:tblLayout w:type="fixed"/>
        <w:tblCellMar>
          <w:top w:w="15" w:type="dxa"/>
          <w:left w:w="15" w:type="dxa"/>
          <w:bottom w:w="15" w:type="dxa"/>
          <w:right w:w="15" w:type="dxa"/>
        </w:tblCellMar>
      </w:tblPr>
      <w:tblGrid>
        <w:gridCol w:w="704"/>
        <w:gridCol w:w="3930"/>
        <w:gridCol w:w="733"/>
        <w:gridCol w:w="4097"/>
      </w:tblGrid>
      <w:tr>
        <w:tblPrEx>
          <w:tblCellMar>
            <w:top w:w="15" w:type="dxa"/>
            <w:left w:w="15" w:type="dxa"/>
            <w:bottom w:w="15" w:type="dxa"/>
            <w:right w:w="15" w:type="dxa"/>
          </w:tblCellMar>
        </w:tblPrEx>
        <w:trPr>
          <w:trHeight w:val="487" w:hRule="atLeast"/>
          <w:jc w:val="center"/>
        </w:trPr>
        <w:tc>
          <w:tcPr>
            <w:tcW w:w="70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序号</w:t>
            </w:r>
          </w:p>
        </w:tc>
        <w:tc>
          <w:tcPr>
            <w:tcW w:w="393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color w:val="000000"/>
                <w:kern w:val="0"/>
                <w:sz w:val="21"/>
                <w:szCs w:val="21"/>
                <w:lang w:eastAsia="zh-CN"/>
              </w:rPr>
            </w:pPr>
            <w:r>
              <w:rPr>
                <w:rFonts w:hint="eastAsia" w:cs="宋体" w:asciiTheme="minorEastAsia" w:hAnsiTheme="minorEastAsia"/>
                <w:b/>
                <w:bCs/>
                <w:color w:val="000000"/>
                <w:kern w:val="0"/>
                <w:sz w:val="21"/>
                <w:szCs w:val="21"/>
                <w:lang w:eastAsia="zh-CN"/>
              </w:rPr>
              <w:t>函授站名称</w:t>
            </w:r>
          </w:p>
        </w:tc>
        <w:tc>
          <w:tcPr>
            <w:tcW w:w="73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color w:val="000000"/>
                <w:kern w:val="0"/>
                <w:sz w:val="21"/>
                <w:szCs w:val="21"/>
                <w:lang w:eastAsia="zh-CN"/>
              </w:rPr>
            </w:pPr>
            <w:r>
              <w:rPr>
                <w:rFonts w:hint="eastAsia" w:cs="宋体" w:asciiTheme="minorEastAsia" w:hAnsiTheme="minorEastAsia"/>
                <w:b/>
                <w:bCs/>
                <w:color w:val="000000"/>
                <w:kern w:val="0"/>
                <w:sz w:val="21"/>
                <w:szCs w:val="21"/>
                <w:lang w:eastAsia="zh-CN"/>
              </w:rPr>
              <w:t>序号</w:t>
            </w:r>
          </w:p>
        </w:tc>
        <w:tc>
          <w:tcPr>
            <w:tcW w:w="409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color w:val="000000"/>
                <w:kern w:val="0"/>
                <w:sz w:val="21"/>
                <w:szCs w:val="21"/>
                <w:lang w:eastAsia="zh-CN"/>
              </w:rPr>
            </w:pPr>
            <w:r>
              <w:rPr>
                <w:rFonts w:hint="eastAsia" w:cs="宋体" w:asciiTheme="minorEastAsia" w:hAnsiTheme="minorEastAsia"/>
                <w:b/>
                <w:bCs/>
                <w:color w:val="000000"/>
                <w:kern w:val="0"/>
                <w:sz w:val="21"/>
                <w:szCs w:val="21"/>
                <w:lang w:eastAsia="zh-CN"/>
              </w:rPr>
              <w:t>函授站名称</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潍坊高新区万学教育培训学校有限公司</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11</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sz w:val="21"/>
                <w:szCs w:val="21"/>
              </w:rPr>
              <w:t>济南市槐荫区典中典培训学校</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hint="eastAsia" w:asciiTheme="minorEastAsia" w:hAnsiTheme="minorEastAsia"/>
                <w:sz w:val="21"/>
                <w:szCs w:val="21"/>
              </w:rPr>
              <w:t>2</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潍坊高新区潍水教育培训学校有限公司</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12</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sz w:val="21"/>
                <w:szCs w:val="21"/>
              </w:rPr>
              <w:t>青岛市即墨区滨海科技培训学校</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hint="eastAsia" w:asciiTheme="minorEastAsia" w:hAnsiTheme="minorEastAsia"/>
                <w:sz w:val="21"/>
                <w:szCs w:val="21"/>
              </w:rPr>
              <w:t>3</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sz w:val="21"/>
                <w:szCs w:val="21"/>
              </w:rPr>
            </w:pPr>
            <w:r>
              <w:rPr>
                <w:rFonts w:hint="eastAsia" w:asciiTheme="minorEastAsia" w:hAnsiTheme="minorEastAsia"/>
                <w:sz w:val="21"/>
                <w:szCs w:val="21"/>
              </w:rPr>
              <w:t>潍坊市奎文区华智教育培训学校</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13</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青岛太学科技培训学校</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hint="eastAsia" w:asciiTheme="minorEastAsia" w:hAnsiTheme="minorEastAsia"/>
                <w:sz w:val="21"/>
                <w:szCs w:val="21"/>
              </w:rPr>
              <w:t>4</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潍坊市寒亭区加华培训学校</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14</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德州经济技术开发区卓识教育培训学校有限公司</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hint="eastAsia" w:asciiTheme="minorEastAsia" w:hAnsiTheme="minorEastAsia"/>
                <w:sz w:val="21"/>
                <w:szCs w:val="21"/>
              </w:rPr>
              <w:t>5</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sz w:val="21"/>
                <w:szCs w:val="21"/>
              </w:rPr>
            </w:pPr>
            <w:r>
              <w:rPr>
                <w:rFonts w:hint="eastAsia" w:asciiTheme="minorEastAsia" w:hAnsiTheme="minorEastAsia"/>
                <w:sz w:val="21"/>
                <w:szCs w:val="21"/>
              </w:rPr>
              <w:t>昌乐中智教育培训学校有限公司</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15</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sz w:val="21"/>
                <w:szCs w:val="21"/>
              </w:rPr>
            </w:pPr>
            <w:r>
              <w:rPr>
                <w:rFonts w:hint="eastAsia" w:asciiTheme="minorEastAsia" w:hAnsiTheme="minorEastAsia"/>
                <w:sz w:val="21"/>
                <w:szCs w:val="21"/>
              </w:rPr>
              <w:t>滨州书雁教育培训学校</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asciiTheme="minorEastAsia" w:hAnsiTheme="minorEastAsia"/>
                <w:sz w:val="21"/>
                <w:szCs w:val="21"/>
              </w:rPr>
              <w:t>6</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sz w:val="21"/>
                <w:szCs w:val="21"/>
              </w:rPr>
            </w:pPr>
            <w:r>
              <w:rPr>
                <w:rFonts w:hint="eastAsia" w:asciiTheme="minorEastAsia" w:hAnsiTheme="minorEastAsia"/>
                <w:sz w:val="21"/>
                <w:szCs w:val="21"/>
              </w:rPr>
              <w:t>寿光市乾翔培训学校</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16</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平邑县广大远程职业技术学校</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asciiTheme="minorEastAsia" w:hAnsiTheme="minorEastAsia"/>
                <w:sz w:val="21"/>
                <w:szCs w:val="21"/>
              </w:rPr>
              <w:t>7</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sz w:val="21"/>
                <w:szCs w:val="21"/>
              </w:rPr>
            </w:pPr>
            <w:r>
              <w:rPr>
                <w:rFonts w:hint="eastAsia" w:asciiTheme="minorEastAsia" w:hAnsiTheme="minorEastAsia"/>
                <w:sz w:val="21"/>
                <w:szCs w:val="21"/>
              </w:rPr>
              <w:t>青州嘉特教育培训学校有限公司</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17</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肥城市乡镇企业职工中等专业学校</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asciiTheme="minorEastAsia" w:hAnsiTheme="minorEastAsia"/>
                <w:sz w:val="21"/>
                <w:szCs w:val="21"/>
              </w:rPr>
              <w:t>8</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sz w:val="21"/>
                <w:szCs w:val="21"/>
              </w:rPr>
            </w:pPr>
            <w:r>
              <w:rPr>
                <w:rFonts w:hint="eastAsia" w:asciiTheme="minorEastAsia" w:hAnsiTheme="minorEastAsia"/>
                <w:sz w:val="21"/>
                <w:szCs w:val="21"/>
              </w:rPr>
              <w:t>诸城市方正卓越教育培训学校有限公司</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18</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聊城经济技术开发区云博教育培训学校有限公司</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asciiTheme="minorEastAsia" w:hAnsiTheme="minorEastAsia"/>
                <w:sz w:val="21"/>
                <w:szCs w:val="21"/>
              </w:rPr>
              <w:t>9</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sz w:val="21"/>
                <w:szCs w:val="21"/>
              </w:rPr>
            </w:pPr>
            <w:r>
              <w:rPr>
                <w:rFonts w:hint="eastAsia" w:asciiTheme="minorEastAsia" w:hAnsiTheme="minorEastAsia"/>
                <w:sz w:val="21"/>
                <w:szCs w:val="21"/>
              </w:rPr>
              <w:t>临朐县技工学校</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r>
              <w:rPr>
                <w:rFonts w:asciiTheme="minorEastAsia" w:hAnsiTheme="minorEastAsia"/>
                <w:sz w:val="21"/>
                <w:szCs w:val="21"/>
              </w:rPr>
              <w:t>19</w:t>
            </w: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菏泽市牡丹区华泽教育培训学校有限公司</w:t>
            </w:r>
          </w:p>
        </w:tc>
      </w:tr>
      <w:tr>
        <w:tblPrEx>
          <w:tblCellMar>
            <w:top w:w="15" w:type="dxa"/>
            <w:left w:w="15" w:type="dxa"/>
            <w:bottom w:w="15" w:type="dxa"/>
            <w:right w:w="15" w:type="dxa"/>
          </w:tblCellMar>
        </w:tblPrEx>
        <w:trPr>
          <w:trHeight w:val="462" w:hRule="atLeast"/>
          <w:jc w:val="center"/>
        </w:trPr>
        <w:tc>
          <w:tcPr>
            <w:tcW w:w="7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sz w:val="21"/>
                <w:szCs w:val="21"/>
              </w:rPr>
            </w:pPr>
            <w:r>
              <w:rPr>
                <w:rFonts w:asciiTheme="minorEastAsia" w:hAnsiTheme="minorEastAsia"/>
                <w:sz w:val="21"/>
                <w:szCs w:val="21"/>
              </w:rPr>
              <w:t>10</w:t>
            </w:r>
          </w:p>
        </w:tc>
        <w:tc>
          <w:tcPr>
            <w:tcW w:w="39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sz w:val="21"/>
                <w:szCs w:val="21"/>
              </w:rPr>
            </w:pPr>
            <w:r>
              <w:rPr>
                <w:rFonts w:hint="eastAsia" w:asciiTheme="minorEastAsia" w:hAnsiTheme="minorEastAsia"/>
                <w:sz w:val="21"/>
                <w:szCs w:val="21"/>
              </w:rPr>
              <w:t>昌邑市奥鹏学习中心</w:t>
            </w:r>
          </w:p>
        </w:tc>
        <w:tc>
          <w:tcPr>
            <w:tcW w:w="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kern w:val="2"/>
                <w:sz w:val="21"/>
                <w:szCs w:val="21"/>
                <w:lang w:val="en-US" w:eastAsia="zh-CN" w:bidi="ar-SA"/>
              </w:rPr>
            </w:pPr>
          </w:p>
        </w:tc>
        <w:tc>
          <w:tcPr>
            <w:tcW w:w="409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cstheme="minorBidi"/>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295" w:hanging="619" w:hangingChars="295"/>
        <w:jc w:val="center"/>
        <w:textAlignment w:val="auto"/>
        <w:rPr>
          <w:rFonts w:hint="default" w:eastAsiaTheme="minorEastAsia"/>
          <w:sz w:val="24"/>
          <w:szCs w:val="24"/>
          <w:lang w:val="en-US" w:eastAsia="zh-CN"/>
        </w:rPr>
      </w:pPr>
      <w:r>
        <w:drawing>
          <wp:inline distT="0" distB="0" distL="114300" distR="114300">
            <wp:extent cx="6305550" cy="2407920"/>
            <wp:effectExtent l="0" t="0" r="0" b="1143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rcRect l="19328" t="45373" r="2710" b="5108"/>
                    <a:stretch>
                      <a:fillRect/>
                    </a:stretch>
                  </pic:blipFill>
                  <pic:spPr>
                    <a:xfrm>
                      <a:off x="0" y="0"/>
                      <a:ext cx="6305550" cy="240792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FC047"/>
    <w:multiLevelType w:val="singleLevel"/>
    <w:tmpl w:val="342FC04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TJjNjY3MmU4Njk3ZWFlMjQwMDM5YTg5Y2FjNGIifQ=="/>
  </w:docVars>
  <w:rsids>
    <w:rsidRoot w:val="06205A26"/>
    <w:rsid w:val="06205A26"/>
    <w:rsid w:val="11560F6F"/>
    <w:rsid w:val="21094ED6"/>
    <w:rsid w:val="5C95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2090</Words>
  <Characters>2209</Characters>
  <Lines>0</Lines>
  <Paragraphs>0</Paragraphs>
  <TotalTime>10</TotalTime>
  <ScaleCrop>false</ScaleCrop>
  <LinksUpToDate>false</LinksUpToDate>
  <CharactersWithSpaces>2214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2022-05-24T03:42:00Z</dcterms:created>
  <dc:creator>文静    代购模式开启</dc:creator>
  <cp:lastModifiedBy>令箫歌</cp:lastModifiedBy>
  <dcterms:modified xsi:type="dcterms:W3CDTF">2022-06-13T04:46:15Z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446AF183B07F40E1B2D7EE000B8623A8</vt:lpwstr>
  </property>
</Properties>
</file>